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563EB"/>
          <w:sz w:val="30"/>
        </w:rPr>
        <w:t>GUÍA DE ESTUDIO</w:t>
      </w:r>
    </w:p>
    <w:p>
      <w:pPr>
        <w:pStyle w:val="Title"/>
        <w:jc w:val="center"/>
      </w:pPr>
      <w:r>
        <w:rPr>
          <w:b/>
        </w:rPr>
        <w:t>Entrevistas en OpenAI</w:t>
      </w:r>
    </w:p>
    <w:p>
      <w:pPr>
        <w:jc w:val="center"/>
      </w:pPr>
      <w:r>
        <w:rPr>
          <w:color w:val="4B5563"/>
          <w:sz w:val="22"/>
        </w:rPr>
        <w:t>Filosofía de contratación · Proceso · Preparación · Checklist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EAF2FF"/>
          </w:tcPr>
          <w:p>
            <w:pPr>
              <w:spacing w:after="40"/>
              <w:jc w:val="center"/>
            </w:pPr>
            <w:r/>
            <w:r>
              <w:rPr>
                <w:b/>
                <w:color w:val="1F4E79"/>
                <w:sz w:val="22"/>
              </w:rPr>
              <w:t>Idea central para recordar</w:t>
            </w:r>
          </w:p>
          <w:p>
            <w:pPr>
              <w:spacing w:after="40"/>
              <w:jc w:val="center"/>
            </w:pPr>
            <w:r>
              <w:rPr>
                <w:color w:val="111827"/>
                <w:sz w:val="20"/>
              </w:rPr>
              <w:t>OpenAI no evalúa solo títulos: busca impacto real, aprendizaje acelerado, comunicación clara, colaboración y alineación con la misión de una IA segura para la humanidad.</w:t>
            </w:r>
          </w:p>
        </w:tc>
      </w:tr>
    </w:tbl>
    <w:p>
      <w:pPr>
        <w:jc w:val="center"/>
      </w:pPr>
      <w:r>
        <w:rPr>
          <w:color w:val="4B5563"/>
          <w:sz w:val="19"/>
        </w:rPr>
        <w:t>Uso recomendado: léelo antes de aplicar, antes de la llamada inicial y antes de la entrevista técnica.</w:t>
      </w:r>
    </w:p>
    <w:p>
      <w:r>
        <w:rPr>
          <w:color w:val="D1D5DB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1. Resumen ejecutivo</w:t>
      </w:r>
    </w:p>
    <w:p>
      <w:pPr>
        <w:pStyle w:val="ListBullet"/>
      </w:pPr>
      <w:r>
        <w:t>OpenAI busca personas talentosas, con puntos de vista diversos y motivadas por colaborar en la creación de inteligencia artificial general segura y beneficiosa para toda la humanidad.</w:t>
      </w:r>
    </w:p>
    <w:p>
      <w:pPr>
        <w:pStyle w:val="ListBullet"/>
      </w:pPr>
      <w:r>
        <w:t>La contratación se enfoca en experiencia real, potencial demostrado, capacidad de aprendizaje, comunicación, colaboración y apertura a recibir retroalimentación.</w:t>
      </w:r>
    </w:p>
    <w:p>
      <w:pPr>
        <w:pStyle w:val="ListBullet"/>
      </w:pPr>
      <w:r>
        <w:t>Para perfiles técnicos, el proceso pone mucho peso en cómo la persona razona, diseña soluciones, programa, prueba, comunica y mejora bajo presión.</w:t>
      </w:r>
    </w:p>
    <w:p>
      <w:pPr>
        <w:pStyle w:val="Heading3"/>
      </w:pPr>
      <w:r>
        <w:t>En una frase:</w:t>
      </w:r>
    </w:p>
    <w:p>
      <w:pPr>
        <w:pStyle w:val="OrbixNote"/>
      </w:pPr>
      <w:r>
        <w:rPr>
          <w:b/>
        </w:rPr>
        <w:t>No buscan solo credenciales; buscan personas capaces de producir resultados, aprender rápido y trabajar con misión.</w:t>
      </w:r>
    </w:p>
    <w:p>
      <w:pPr>
        <w:pStyle w:val="Heading1"/>
      </w:pPr>
      <w:r>
        <w:t>2. Filosofía de contratación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1F4E79"/>
          </w:tcPr>
          <w:p>
            <w:pPr>
              <w:spacing w:after="40"/>
              <w:jc w:val="left"/>
            </w:pPr>
            <w:r/>
            <w:r>
              <w:rPr>
                <w:b/>
                <w:color w:val="FFFFFF"/>
                <w:sz w:val="19"/>
              </w:rPr>
              <w:t>Elemento</w:t>
            </w:r>
          </w:p>
        </w:tc>
        <w:tc>
          <w:tcPr>
            <w:tcW w:type="dxa" w:w="5040"/>
            <w:vAlign w:val="center"/>
            <w:shd w:fill="1F4E79"/>
          </w:tcPr>
          <w:p>
            <w:pPr>
              <w:spacing w:after="40"/>
              <w:jc w:val="left"/>
            </w:pPr>
            <w:r/>
            <w:r>
              <w:rPr>
                <w:b/>
                <w:color w:val="FFFFFF"/>
                <w:sz w:val="19"/>
              </w:rPr>
              <w:t>Qué significa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8"/>
              </w:rPr>
              <w:t>Misión de contratación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8"/>
              </w:rPr>
              <w:t>Atraer personas con talento, experiencias distintas y pasión por construir IA segura para toda la humanidad.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8"/>
              </w:rPr>
              <w:t>Proceso consistente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8"/>
              </w:rPr>
              <w:t>Dar a todos los candidatos una oportunidad justa para demostrar varias aptitudes.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8"/>
              </w:rPr>
              <w:t>Menos peso a los títulos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8"/>
              </w:rPr>
              <w:t>Los títulos ayudan, pero no son el centro. Importan más la experiencia, el criterio y el aporte real.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8"/>
              </w:rPr>
              <w:t>Expertos y alto potencial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8"/>
              </w:rPr>
              <w:t>Valoran tanto especialistas consolidados como personas que aprenden rápido y entregan resultados en campos nuevos.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8"/>
              </w:rPr>
              <w:t>Colaboración y comunicación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8"/>
              </w:rPr>
              <w:t>Buscan personas que sepan explicar, trabajar en equipo y recibir retroalimentación sin fricción.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8"/>
              </w:rPr>
              <w:t>Alineación con misión y valores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8"/>
              </w:rPr>
              <w:t>La motivación debe conectar con el desarrollo responsable y seguro de la IA.</w:t>
            </w:r>
          </w:p>
        </w:tc>
      </w:tr>
    </w:tbl>
    <w:p>
      <w:pPr>
        <w:pStyle w:val="Heading1"/>
      </w:pPr>
      <w:r>
        <w:t>3. Qué busca OpenAI en un candidato</w:t>
      </w:r>
    </w:p>
    <w:p>
      <w:pPr>
        <w:pStyle w:val="ListBullet"/>
      </w:pPr>
      <w:r>
        <w:t>Capacidad de aprender rápido y adaptarse a dominios nuevos.</w:t>
      </w:r>
    </w:p>
    <w:p>
      <w:pPr>
        <w:pStyle w:val="ListBullet"/>
      </w:pPr>
      <w:r>
        <w:t>Resultados concretos: proyectos, sistemas, investigación, despliegues, contribuciones o impacto medible.</w:t>
      </w:r>
    </w:p>
    <w:p>
      <w:pPr>
        <w:pStyle w:val="ListBullet"/>
      </w:pPr>
      <w:r>
        <w:t>Pensamiento estructurado para resolver problemas complejos.</w:t>
      </w:r>
    </w:p>
    <w:p>
      <w:pPr>
        <w:pStyle w:val="ListBullet"/>
      </w:pPr>
      <w:r>
        <w:t>Comunicación clara: explicar decisiones, trade-offs, riesgos y limitaciones.</w:t>
      </w:r>
    </w:p>
    <w:p>
      <w:pPr>
        <w:pStyle w:val="ListBullet"/>
      </w:pPr>
      <w:r>
        <w:t>Colaboración real: trabajar con otros, escuchar feedback y mejorar.</w:t>
      </w:r>
    </w:p>
    <w:p>
      <w:pPr>
        <w:pStyle w:val="ListBullet"/>
      </w:pPr>
      <w:r>
        <w:t>Alineación ética con la IA segura y beneficiosa para la humanidad.</w:t>
      </w:r>
    </w:p>
    <w:p>
      <w:pPr>
        <w:pStyle w:val="Heading1"/>
      </w:pPr>
      <w:r>
        <w:t>4. Proceso de entrevistas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vAlign w:val="center"/>
            <w:shd w:fill="2563EB"/>
          </w:tcPr>
          <w:p>
            <w:pPr>
              <w:spacing w:after="40"/>
              <w:jc w:val="left"/>
            </w:pPr>
            <w:r/>
            <w:r>
              <w:rPr>
                <w:b/>
                <w:color w:val="FFFFFF"/>
                <w:sz w:val="17"/>
              </w:rPr>
              <w:t>Etapa</w:t>
            </w:r>
          </w:p>
        </w:tc>
        <w:tc>
          <w:tcPr>
            <w:tcW w:type="dxa" w:w="3360"/>
            <w:vAlign w:val="center"/>
            <w:shd w:fill="2563EB"/>
          </w:tcPr>
          <w:p>
            <w:pPr>
              <w:spacing w:after="40"/>
              <w:jc w:val="left"/>
            </w:pPr>
            <w:r/>
            <w:r>
              <w:rPr>
                <w:b/>
                <w:color w:val="FFFFFF"/>
                <w:sz w:val="17"/>
              </w:rPr>
              <w:t>Qué pasa</w:t>
            </w:r>
          </w:p>
        </w:tc>
        <w:tc>
          <w:tcPr>
            <w:tcW w:type="dxa" w:w="3360"/>
            <w:vAlign w:val="center"/>
            <w:shd w:fill="2563EB"/>
          </w:tcPr>
          <w:p>
            <w:pPr>
              <w:spacing w:after="40"/>
              <w:jc w:val="left"/>
            </w:pPr>
            <w:r/>
            <w:r>
              <w:rPr>
                <w:b/>
                <w:color w:val="FFFFFF"/>
                <w:sz w:val="17"/>
              </w:rPr>
              <w:t>Cómo prepararte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6"/>
              </w:rPr>
              <w:t>1. Revisión de solicitud y CV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Envías la solicitud al puesto. El equipo suele revisar el CV y responder en aproximadamente una semana.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CV claro, logros medibles, proyectos reales, enlaces a portafolio/repositorios cuando aplique.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6"/>
              </w:rPr>
              <w:t>2. Llamada introductoria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Si el perfil interesa, un reclutador o hiring manager agenda una conversación inicial.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Preparar experiencia, motivaciones, metas, por qué OpenAI y por qué ese equipo.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6"/>
              </w:rPr>
              <w:t>3. Evaluación de aptitudes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Puede incluir pair programming, proyecto en casa, HackerRank u otra evaluación según el rol.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Practicar resolución técnica, diseño, código limpio, pruebas y explicación en voz alta.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6"/>
              </w:rPr>
              <w:t>4. Entrevistas finales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Normalmente son online. Pueden durar 4 a 6 horas con 4 a 6 personas durante uno o dos días.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Preparar casos complejos, arquitectura, debugging, colaboración y manejo de presión.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/>
                <w:color w:val="111827"/>
                <w:sz w:val="16"/>
              </w:rPr>
              <w:t>5. Decisión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Después de las entrevistas finales suelen responder en aproximadamente una semana. Pueden pedir referencias.</w:t>
            </w:r>
          </w:p>
        </w:tc>
        <w:tc>
          <w:tcPr>
            <w:tcW w:type="dxa" w:w="3360"/>
            <w:vAlign w:val="center"/>
          </w:tcPr>
          <w:p>
            <w:pPr>
              <w:spacing w:after="40"/>
              <w:jc w:val="left"/>
            </w:pPr>
            <w:r/>
            <w:r>
              <w:rPr>
                <w:b w:val="0"/>
                <w:color w:val="111827"/>
                <w:sz w:val="16"/>
              </w:rPr>
              <w:t>Tener referencias listas y un cierre profesional alineado con misión, impacto y aprendizaje.</w:t>
            </w:r>
          </w:p>
        </w:tc>
      </w:tr>
    </w:tbl>
    <w:p>
      <w:pPr>
        <w:pStyle w:val="Heading1"/>
      </w:pPr>
      <w:r>
        <w:t>5. En entrevistas de ingeniería</w:t>
      </w:r>
    </w:p>
    <w:p>
      <w:pPr>
        <w:pStyle w:val="ListBullet"/>
      </w:pPr>
      <w:r>
        <w:rPr>
          <w:b/>
        </w:rPr>
        <w:t xml:space="preserve">Soluciones bien diseñadas: </w:t>
      </w:r>
      <w:r>
        <w:t>No basta con que funcione; debe tener arquitectura coherente, simplicidad, escalabilidad y mantenimiento razonable.</w:t>
      </w:r>
    </w:p>
    <w:p>
      <w:pPr>
        <w:pStyle w:val="ListBullet"/>
      </w:pPr>
      <w:r>
        <w:rPr>
          <w:b/>
        </w:rPr>
        <w:t xml:space="preserve">Código de calidad: </w:t>
      </w:r>
      <w:r>
        <w:t>Claridad, estructura, manejo de errores, pruebas y legibilidad.</w:t>
      </w:r>
    </w:p>
    <w:p>
      <w:pPr>
        <w:pStyle w:val="ListBullet"/>
      </w:pPr>
      <w:r>
        <w:rPr>
          <w:b/>
        </w:rPr>
        <w:t xml:space="preserve">Rendimiento: </w:t>
      </w:r>
      <w:r>
        <w:t>Capacidad de pensar en complejidad, latencia, throughput, memoria y costos.</w:t>
      </w:r>
    </w:p>
    <w:p>
      <w:pPr>
        <w:pStyle w:val="ListBullet"/>
      </w:pPr>
      <w:r>
        <w:rPr>
          <w:b/>
        </w:rPr>
        <w:t xml:space="preserve">Pruebas: </w:t>
      </w:r>
      <w:r>
        <w:t>Validar casos normales, bordes, errores y regresiones.</w:t>
      </w:r>
    </w:p>
    <w:p>
      <w:pPr>
        <w:pStyle w:val="ListBullet"/>
      </w:pPr>
      <w:r>
        <w:rPr>
          <w:b/>
        </w:rPr>
        <w:t xml:space="preserve">Comunicación: </w:t>
      </w:r>
      <w:r>
        <w:t>Explicar el razonamiento, formular preguntas, justificar trade-offs y pedir aclaraciones cuando corresponde.</w:t>
      </w:r>
    </w:p>
    <w:p>
      <w:pPr>
        <w:pStyle w:val="ListBullet"/>
      </w:pPr>
      <w:r>
        <w:rPr>
          <w:b/>
        </w:rPr>
        <w:t xml:space="preserve">Colaboración: </w:t>
      </w:r>
      <w:r>
        <w:t>Aceptar feedback y ajustar la solución sin ego técnico.</w:t>
      </w:r>
    </w:p>
    <w:p>
      <w:pPr>
        <w:pStyle w:val="Heading1"/>
      </w:pPr>
      <w:r>
        <w:t>6. Preparación recomendada</w:t>
      </w:r>
    </w:p>
    <w:p>
      <w:pPr>
        <w:pStyle w:val="ListBullet"/>
      </w:pPr>
      <w:r>
        <w:t>Leer los estatutos de OpenAI y entender su misión.</w:t>
      </w:r>
    </w:p>
    <w:p>
      <w:pPr>
        <w:pStyle w:val="ListBullet"/>
      </w:pPr>
      <w:r>
        <w:t>Revisar publicaciones de investigación relevantes para el equipo al que aplicas.</w:t>
      </w:r>
    </w:p>
    <w:p>
      <w:pPr>
        <w:pStyle w:val="ListBullet"/>
      </w:pPr>
      <w:r>
        <w:t>Leer artículos del blog de OpenAI, especialmente novedades recientes del área objetivo.</w:t>
      </w:r>
    </w:p>
    <w:p>
      <w:pPr>
        <w:pStyle w:val="ListBullet"/>
      </w:pPr>
      <w:r>
        <w:t>Repasar fundamentos de deep learning si el puesto lo requiere.</w:t>
      </w:r>
    </w:p>
    <w:p>
      <w:pPr>
        <w:pStyle w:val="ListBullet"/>
      </w:pPr>
      <w:r>
        <w:t>Estudiar Spinning Up in Deep RL si el rol se relaciona con reinforcement learning.</w:t>
      </w:r>
    </w:p>
    <w:p>
      <w:pPr>
        <w:pStyle w:val="ListBullet"/>
      </w:pPr>
      <w:r>
        <w:t>Preparar historias profesionales usando formato problema → acción → resultado → aprendizaje.</w:t>
      </w:r>
    </w:p>
    <w:p>
      <w:r>
        <w:br w:type="page"/>
      </w:r>
    </w:p>
    <w:p>
      <w:pPr>
        <w:pStyle w:val="Heading1"/>
      </w:pPr>
      <w:r>
        <w:t>7. Checklist personal antes de aplicar</w:t>
      </w:r>
    </w:p>
    <w:p>
      <w:pPr>
        <w:pStyle w:val="ListBullet"/>
      </w:pPr>
      <w:r>
        <w:rPr>
          <w:b/>
        </w:rPr>
        <w:t xml:space="preserve">☐ </w:t>
      </w:r>
      <w:r>
        <w:t>Tengo un CV alineado al puesto específico.</w:t>
      </w:r>
    </w:p>
    <w:p>
      <w:pPr>
        <w:pStyle w:val="ListBullet"/>
      </w:pPr>
      <w:r>
        <w:rPr>
          <w:b/>
        </w:rPr>
        <w:t xml:space="preserve">☐ </w:t>
      </w:r>
      <w:r>
        <w:t>Mis proyectos muestran impacto real, no solo intención o teoría.</w:t>
      </w:r>
    </w:p>
    <w:p>
      <w:pPr>
        <w:pStyle w:val="ListBullet"/>
      </w:pPr>
      <w:r>
        <w:rPr>
          <w:b/>
        </w:rPr>
        <w:t xml:space="preserve">☐ </w:t>
      </w:r>
      <w:r>
        <w:t>Puedo explicar un sistema que diseñé de punta a punta.</w:t>
      </w:r>
    </w:p>
    <w:p>
      <w:pPr>
        <w:pStyle w:val="ListBullet"/>
      </w:pPr>
      <w:r>
        <w:rPr>
          <w:b/>
        </w:rPr>
        <w:t xml:space="preserve">☐ </w:t>
      </w:r>
      <w:r>
        <w:t>Puedo hablar de fallos, decisiones difíciles y aprendizajes.</w:t>
      </w:r>
    </w:p>
    <w:p>
      <w:pPr>
        <w:pStyle w:val="ListBullet"/>
      </w:pPr>
      <w:r>
        <w:rPr>
          <w:b/>
        </w:rPr>
        <w:t xml:space="preserve">☐ </w:t>
      </w:r>
      <w:r>
        <w:t>Tengo una historia clara de por qué OpenAI y por qué ese equipo.</w:t>
      </w:r>
    </w:p>
    <w:p>
      <w:pPr>
        <w:pStyle w:val="ListBullet"/>
      </w:pPr>
      <w:r>
        <w:rPr>
          <w:b/>
        </w:rPr>
        <w:t xml:space="preserve">☐ </w:t>
      </w:r>
      <w:r>
        <w:t>Puedo demostrar colaboración, feedback y comunicación efectiva.</w:t>
      </w:r>
    </w:p>
    <w:p>
      <w:pPr>
        <w:pStyle w:val="ListBullet"/>
      </w:pPr>
      <w:r>
        <w:rPr>
          <w:b/>
        </w:rPr>
        <w:t xml:space="preserve">☐ </w:t>
      </w:r>
      <w:r>
        <w:t>Tengo ejemplos medibles: reducción de tiempo, automatización, usuarios, costos, escalabilidad o seguridad.</w:t>
      </w:r>
    </w:p>
    <w:p>
      <w:pPr>
        <w:pStyle w:val="ListBullet"/>
      </w:pPr>
      <w:r>
        <w:rPr>
          <w:b/>
        </w:rPr>
        <w:t xml:space="preserve">☐ </w:t>
      </w:r>
      <w:r>
        <w:t>Tengo enlaces listos: portafolio, GitHub, documentación, demo o arquitectura.</w:t>
      </w:r>
    </w:p>
    <w:p>
      <w:pPr>
        <w:pStyle w:val="Heading1"/>
      </w:pPr>
      <w:r>
        <w:t>8. Guía de respuesta: cómo vender tu perfil</w:t>
      </w:r>
    </w:p>
    <w:p>
      <w:pPr>
        <w:pStyle w:val="Heading3"/>
      </w:pPr>
      <w:r>
        <w:t>Estructura recomendada para responder preguntas de entrevista:</w:t>
      </w:r>
    </w:p>
    <w:p>
      <w:pPr>
        <w:pStyle w:val="ListNumber"/>
      </w:pPr>
      <w:r>
        <w:rPr>
          <w:b/>
        </w:rPr>
        <w:t xml:space="preserve">Contexto: </w:t>
      </w:r>
      <w:r>
        <w:t>Qué problema existía y por qué importaba.</w:t>
      </w:r>
    </w:p>
    <w:p>
      <w:pPr>
        <w:pStyle w:val="ListNumber"/>
      </w:pPr>
      <w:r>
        <w:rPr>
          <w:b/>
        </w:rPr>
        <w:t xml:space="preserve">Decisión técnica: </w:t>
      </w:r>
      <w:r>
        <w:t>Qué arquitectura, tecnología o estrategia elegiste.</w:t>
      </w:r>
    </w:p>
    <w:p>
      <w:pPr>
        <w:pStyle w:val="ListNumber"/>
      </w:pPr>
      <w:r>
        <w:rPr>
          <w:b/>
        </w:rPr>
        <w:t xml:space="preserve">Ejecución: </w:t>
      </w:r>
      <w:r>
        <w:t>Qué construiste, integraste, automatizaste o desplegaste.</w:t>
      </w:r>
    </w:p>
    <w:p>
      <w:pPr>
        <w:pStyle w:val="ListNumber"/>
      </w:pPr>
      <w:r>
        <w:rPr>
          <w:b/>
        </w:rPr>
        <w:t xml:space="preserve">Resultado: </w:t>
      </w:r>
      <w:r>
        <w:t>Qué mejoró: tiempo, costo, calidad, seguridad, confiabilidad o experiencia de usuario.</w:t>
      </w:r>
    </w:p>
    <w:p>
      <w:pPr>
        <w:pStyle w:val="ListNumber"/>
      </w:pPr>
      <w:r>
        <w:rPr>
          <w:b/>
        </w:rPr>
        <w:t xml:space="preserve">Aprendizaje: </w:t>
      </w:r>
      <w:r>
        <w:t>Qué cambiarías, qué aprendiste y cómo iteraste.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3F4F6"/>
          </w:tcPr>
          <w:p>
            <w:pPr>
              <w:spacing w:after="40"/>
            </w:pPr>
            <w:r/>
            <w:r>
              <w:rPr>
                <w:b/>
                <w:color w:val="111827"/>
                <w:sz w:val="20"/>
              </w:rPr>
              <w:t>Lectura estratégica para un perfil autodidacta / arquitecto de sistemas</w:t>
            </w:r>
          </w:p>
          <w:p>
            <w:pPr>
              <w:spacing w:after="40"/>
              <w:ind w:left="144"/>
            </w:pPr>
            <w:r>
              <w:rPr>
                <w:sz w:val="18"/>
              </w:rPr>
              <w:t>• La ventaja no está en decir “sé mucho”, sino en demostrar sistemas construidos, decisiones técnicas y resultados.</w:t>
            </w:r>
          </w:p>
          <w:p>
            <w:pPr>
              <w:spacing w:after="40"/>
              <w:ind w:left="144"/>
            </w:pPr>
            <w:r>
              <w:rPr>
                <w:sz w:val="18"/>
              </w:rPr>
              <w:t>• El mensaje correcto es: aprendo rápido, diseño con criterio, documento, pruebo, colaboro y convierto problemas ambiguos en soluciones operativas.</w:t>
            </w:r>
          </w:p>
          <w:p>
            <w:pPr>
              <w:spacing w:after="40"/>
              <w:ind w:left="144"/>
            </w:pPr>
            <w:r>
              <w:rPr>
                <w:sz w:val="18"/>
              </w:rPr>
              <w:t>• Evita exagerar experiencia en áreas que no has hecho directamente. Mejor: explica lo que sí has construido y cómo lo afinarías con disciplina técnica.</w:t>
            </w:r>
          </w:p>
        </w:tc>
      </w:tr>
    </w:tbl>
    <w:p>
      <w:pPr>
        <w:pStyle w:val="Heading1"/>
      </w:pPr>
      <w:r>
        <w:t>9. Preguntas probables para practicar</w:t>
      </w:r>
    </w:p>
    <w:p>
      <w:pPr>
        <w:pStyle w:val="ListBullet"/>
      </w:pPr>
      <w:r>
        <w:t>¿Por qué quieres trabajar en OpenAI?</w:t>
      </w:r>
    </w:p>
    <w:p>
      <w:pPr>
        <w:pStyle w:val="ListBullet"/>
      </w:pPr>
      <w:r>
        <w:t>Cuéntanos sobre un sistema complejo que hayas diseñado o desplegado.</w:t>
      </w:r>
    </w:p>
    <w:p>
      <w:pPr>
        <w:pStyle w:val="ListBullet"/>
      </w:pPr>
      <w:r>
        <w:t>¿Cómo decides entre rapidez de entrega, seguridad, costo y escalabilidad?</w:t>
      </w:r>
    </w:p>
    <w:p>
      <w:pPr>
        <w:pStyle w:val="ListBullet"/>
      </w:pPr>
      <w:r>
        <w:t>¿Cómo manejas feedback técnico fuerte?</w:t>
      </w:r>
    </w:p>
    <w:p>
      <w:pPr>
        <w:pStyle w:val="ListBullet"/>
      </w:pPr>
      <w:r>
        <w:t>¿Qué significa para ti construir IA segura?</w:t>
      </w:r>
    </w:p>
    <w:p>
      <w:pPr>
        <w:pStyle w:val="ListBullet"/>
      </w:pPr>
      <w:r>
        <w:t>Descríbenos una ocasión donde aprendiste rápido un dominio nuevo y entregaste resultados.</w:t>
      </w:r>
    </w:p>
    <w:p>
      <w:pPr>
        <w:pStyle w:val="ListBullet"/>
      </w:pPr>
      <w:r>
        <w:t>¿Cómo pruebas y monitoreas un sistema en producción?</w:t>
      </w:r>
    </w:p>
    <w:p>
      <w:pPr>
        <w:pStyle w:val="ListBullet"/>
      </w:pPr>
      <w:r>
        <w:t>¿Qué harías diferente si volvieras a diseñar tu último proyecto importante?</w:t>
      </w:r>
    </w:p>
    <w:p>
      <w:pPr>
        <w:pStyle w:val="Heading1"/>
      </w:pPr>
      <w:r>
        <w:t>10. Plan de estudio rápido: 5 bloques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1F4E79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FFFFFF"/>
                <w:sz w:val="16"/>
              </w:rPr>
              <w:t>Bloque</w:t>
            </w:r>
          </w:p>
        </w:tc>
        <w:tc>
          <w:tcPr>
            <w:tcW w:type="dxa" w:w="5040"/>
            <w:vAlign w:val="center"/>
            <w:shd w:fill="1F4E79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FFFFFF"/>
                <w:sz w:val="16"/>
              </w:rPr>
              <w:t>Objetivo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111827"/>
                <w:sz w:val="16"/>
              </w:rPr>
              <w:t>Bloque 1 — Misión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 w:val="0"/>
                <w:color w:val="111827"/>
                <w:sz w:val="16"/>
              </w:rPr>
              <w:t>Leer misión, estatutos y valores. Preparar una respuesta auténtica de motivación.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111827"/>
                <w:sz w:val="16"/>
              </w:rPr>
              <w:t>Bloque 2 — CV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 w:val="0"/>
                <w:color w:val="111827"/>
                <w:sz w:val="16"/>
              </w:rPr>
              <w:t>Alinear experiencia, proyectos, métricas y resultados al puesto.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111827"/>
                <w:sz w:val="16"/>
              </w:rPr>
              <w:t>Bloque 3 — Técnica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 w:val="0"/>
                <w:color w:val="111827"/>
                <w:sz w:val="16"/>
              </w:rPr>
              <w:t>Practicar código, arquitectura, pruebas y rendimiento.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111827"/>
                <w:sz w:val="16"/>
              </w:rPr>
              <w:t>Bloque 4 — Historias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 w:val="0"/>
                <w:color w:val="111827"/>
                <w:sz w:val="16"/>
              </w:rPr>
              <w:t>Preparar 5 historias: problema → acción → resultado.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/>
                <w:color w:val="111827"/>
                <w:sz w:val="16"/>
              </w:rPr>
              <w:t>Bloque 5 — Simulación</w:t>
            </w:r>
          </w:p>
        </w:tc>
        <w:tc>
          <w:tcPr>
            <w:tcW w:type="dxa" w:w="5040"/>
            <w:vAlign w:val="center"/>
          </w:tcPr>
          <w:p>
            <w:pPr>
              <w:spacing w:after="40"/>
              <w:jc w:val="left"/>
            </w:pPr>
            <w:r>
              <w:rPr>
                <w:sz w:val="16"/>
              </w:rPr>
            </w:r>
            <w:r>
              <w:rPr>
                <w:b w:val="0"/>
                <w:color w:val="111827"/>
                <w:sz w:val="16"/>
              </w:rPr>
              <w:t>Simular entrevista y explicar decisiones técnicas.</w:t>
            </w:r>
          </w:p>
        </w:tc>
      </w:tr>
    </w:tbl>
    <w:p>
      <w:pPr>
        <w:jc w:val="center"/>
      </w:pPr>
      <w:r>
        <w:rPr>
          <w:b/>
          <w:color w:val="1F4E79"/>
          <w:sz w:val="22"/>
        </w:rPr>
        <w:t>Frase clave: OpenAI evalúa cómo piensas, cómo construyes y cómo colaboras.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280"/>
        <w:sz w:val="16"/>
      </w:rPr>
      <w:t>Material de estudio basado en el texto proporcionado por el usuario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B7280"/>
        <w:sz w:val="16"/>
      </w:rPr>
      <w:t>Guía de estudio — Entrevistas OpenAI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00" w:after="8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2563EB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00" w:after="8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37415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00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1182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OrbixNote">
    <w:name w:val="Orbix Note"/>
    <w:pPr>
      <w:spacing w:before="80" w:after="120"/>
      <w:ind w:left="216" w:right="216"/>
    </w:pPr>
    <w:rPr>
      <w:rFonts w:ascii="Aptos" w:hAnsi="Aptos" w:eastAsia="Aptos"/>
      <w:i/>
      <w:color w:val="374151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estudio para entrevistas en OpenAI</dc:title>
  <dc:subject>Filosofía, proceso y preparación de entrevistas</dc:subject>
  <dc:creator>OpenAI / ChatGPT</dc:creator>
  <cp:keywords/>
  <dc:description>Documento generado como material de estudio a partir del texto proporcionado por el usuario.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